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97D" w:rsidRPr="005E3F81" w:rsidRDefault="0037497D" w:rsidP="0037497D">
      <w:pPr>
        <w:spacing w:after="0" w:line="360" w:lineRule="auto"/>
        <w:jc w:val="both"/>
        <w:rPr>
          <w:rFonts w:ascii="Palatino Linotype" w:hAnsi="Palatino Linotype"/>
          <w:b/>
          <w:sz w:val="23"/>
          <w:szCs w:val="23"/>
        </w:rPr>
      </w:pPr>
      <w:r w:rsidRPr="005E3F81">
        <w:rPr>
          <w:rFonts w:ascii="Palatino Linotype" w:hAnsi="Palatino Linotype"/>
          <w:b/>
          <w:sz w:val="23"/>
          <w:szCs w:val="23"/>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sidR="00D26EDD">
        <w:rPr>
          <w:rFonts w:ascii="Palatino Linotype" w:hAnsi="Palatino Linotype"/>
          <w:b/>
          <w:sz w:val="23"/>
          <w:szCs w:val="23"/>
        </w:rPr>
        <w:t>SEXTA</w:t>
      </w:r>
      <w:r w:rsidR="00745853" w:rsidRPr="005E3F81">
        <w:rPr>
          <w:rFonts w:ascii="Palatino Linotype" w:hAnsi="Palatino Linotype"/>
          <w:b/>
          <w:sz w:val="23"/>
          <w:szCs w:val="23"/>
        </w:rPr>
        <w:t xml:space="preserve"> </w:t>
      </w:r>
      <w:r w:rsidRPr="005E3F81">
        <w:rPr>
          <w:rFonts w:ascii="Palatino Linotype" w:hAnsi="Palatino Linotype"/>
          <w:b/>
          <w:sz w:val="23"/>
          <w:szCs w:val="23"/>
        </w:rPr>
        <w:t xml:space="preserve">SESIÓN ORDINARIA DEL </w:t>
      </w:r>
      <w:r w:rsidR="00D26EDD">
        <w:rPr>
          <w:rFonts w:ascii="Palatino Linotype" w:hAnsi="Palatino Linotype"/>
          <w:b/>
          <w:sz w:val="23"/>
          <w:szCs w:val="23"/>
        </w:rPr>
        <w:t>CATORCE DE FEBRERO</w:t>
      </w:r>
      <w:r w:rsidR="00745853" w:rsidRPr="005E3F81">
        <w:rPr>
          <w:rFonts w:ascii="Palatino Linotype" w:hAnsi="Palatino Linotype"/>
          <w:b/>
          <w:sz w:val="23"/>
          <w:szCs w:val="23"/>
        </w:rPr>
        <w:t xml:space="preserve"> </w:t>
      </w:r>
      <w:r w:rsidR="00E07483">
        <w:rPr>
          <w:rFonts w:ascii="Palatino Linotype" w:hAnsi="Palatino Linotype"/>
          <w:b/>
          <w:sz w:val="23"/>
          <w:szCs w:val="23"/>
        </w:rPr>
        <w:t>DE DOS MIL DIECINUEVE</w:t>
      </w:r>
      <w:r w:rsidRPr="005E3F81">
        <w:rPr>
          <w:rFonts w:ascii="Palatino Linotype" w:hAnsi="Palatino Linotype"/>
          <w:b/>
          <w:sz w:val="23"/>
          <w:szCs w:val="23"/>
        </w:rPr>
        <w:t>, EN EL RECURSO DE REVISIÓN 0</w:t>
      </w:r>
      <w:r w:rsidR="00D26EDD">
        <w:rPr>
          <w:rFonts w:ascii="Palatino Linotype" w:hAnsi="Palatino Linotype"/>
          <w:b/>
          <w:sz w:val="23"/>
          <w:szCs w:val="23"/>
        </w:rPr>
        <w:t>4441</w:t>
      </w:r>
      <w:r w:rsidR="00255224">
        <w:rPr>
          <w:rFonts w:ascii="Palatino Linotype" w:hAnsi="Palatino Linotype"/>
          <w:b/>
          <w:sz w:val="23"/>
          <w:szCs w:val="23"/>
        </w:rPr>
        <w:t>/INFOEM/IP/RR/2018 Y ACUMULADO.</w:t>
      </w:r>
    </w:p>
    <w:p w:rsidR="00255224" w:rsidRPr="001E521E" w:rsidRDefault="00255224" w:rsidP="0037497D">
      <w:pPr>
        <w:spacing w:after="0" w:line="360" w:lineRule="auto"/>
        <w:jc w:val="both"/>
        <w:rPr>
          <w:rFonts w:ascii="Palatino Linotype" w:hAnsi="Palatino Linotype"/>
          <w:sz w:val="24"/>
          <w:szCs w:val="24"/>
        </w:rPr>
      </w:pPr>
    </w:p>
    <w:p w:rsidR="0037497D" w:rsidRPr="001E521E" w:rsidRDefault="0037497D" w:rsidP="0037497D">
      <w:pPr>
        <w:spacing w:after="0" w:line="360" w:lineRule="auto"/>
        <w:jc w:val="both"/>
        <w:rPr>
          <w:rFonts w:ascii="Palatino Linotype" w:hAnsi="Palatino Linotype"/>
          <w:sz w:val="24"/>
          <w:szCs w:val="24"/>
        </w:rPr>
      </w:pPr>
      <w:r w:rsidRPr="001E521E">
        <w:rPr>
          <w:rFonts w:ascii="Palatino Linotype" w:hAnsi="Palatino Linotype"/>
          <w:sz w:val="24"/>
          <w:szCs w:val="24"/>
        </w:rPr>
        <w:t>Antes de platear el punto sobre el cual versa el presente voto, es de suma importancia mencionar que el suscrito en términos generales coincide en el sentido de la resolución del recurso de revisión al rubro indicado, lo anterior es así como a continuación se explica:</w:t>
      </w:r>
    </w:p>
    <w:p w:rsidR="00255224" w:rsidRPr="001E521E" w:rsidRDefault="00255224" w:rsidP="0037497D">
      <w:pPr>
        <w:spacing w:after="0" w:line="360" w:lineRule="auto"/>
        <w:jc w:val="both"/>
        <w:rPr>
          <w:rFonts w:ascii="Palatino Linotype" w:hAnsi="Palatino Linotype"/>
          <w:sz w:val="24"/>
          <w:szCs w:val="24"/>
        </w:rPr>
      </w:pPr>
    </w:p>
    <w:p w:rsidR="00142706" w:rsidRPr="001E521E" w:rsidRDefault="0037497D" w:rsidP="00E07483">
      <w:pPr>
        <w:spacing w:after="0" w:line="360" w:lineRule="auto"/>
        <w:jc w:val="both"/>
        <w:rPr>
          <w:rFonts w:ascii="Palatino Linotype" w:hAnsi="Palatino Linotype"/>
          <w:sz w:val="24"/>
          <w:szCs w:val="24"/>
        </w:rPr>
      </w:pPr>
      <w:r w:rsidRPr="001E521E">
        <w:rPr>
          <w:rFonts w:ascii="Palatino Linotype" w:hAnsi="Palatino Linotype"/>
          <w:sz w:val="24"/>
          <w:szCs w:val="24"/>
        </w:rPr>
        <w:t xml:space="preserve">En primer lugar </w:t>
      </w:r>
      <w:r w:rsidR="00E07483" w:rsidRPr="001E521E">
        <w:rPr>
          <w:rFonts w:ascii="Palatino Linotype" w:eastAsia="Calibri" w:hAnsi="Palatino Linotype" w:cs="Tahoma"/>
          <w:iCs/>
          <w:sz w:val="24"/>
          <w:szCs w:val="24"/>
          <w:lang w:eastAsia="es-ES_tradnl"/>
        </w:rPr>
        <w:t>r</w:t>
      </w:r>
      <w:r w:rsidR="00142706" w:rsidRPr="001E521E">
        <w:rPr>
          <w:rFonts w:ascii="Palatino Linotype" w:eastAsia="Calibri" w:hAnsi="Palatino Linotype" w:cs="Tahoma"/>
          <w:iCs/>
          <w:sz w:val="24"/>
          <w:szCs w:val="24"/>
          <w:lang w:eastAsia="es-ES_tradnl"/>
        </w:rPr>
        <w:t>esulta conveniente,</w:t>
      </w:r>
      <w:r w:rsidR="00E07483" w:rsidRPr="001E521E">
        <w:rPr>
          <w:rFonts w:ascii="Palatino Linotype" w:eastAsia="Calibri" w:hAnsi="Palatino Linotype" w:cs="Tahoma"/>
          <w:iCs/>
          <w:sz w:val="24"/>
          <w:szCs w:val="24"/>
          <w:lang w:eastAsia="es-ES_tradnl"/>
        </w:rPr>
        <w:t xml:space="preserve"> enunciar</w:t>
      </w:r>
      <w:r w:rsidR="00142706" w:rsidRPr="001E521E">
        <w:rPr>
          <w:rFonts w:ascii="Palatino Linotype" w:eastAsia="Calibri" w:hAnsi="Palatino Linotype" w:cs="Tahoma"/>
          <w:iCs/>
          <w:sz w:val="24"/>
          <w:szCs w:val="24"/>
          <w:lang w:eastAsia="es-ES_tradnl"/>
        </w:rPr>
        <w:t xml:space="preserve"> lo que solicitó, de la servidora pública Emelia Hernández Jiménez:</w:t>
      </w:r>
    </w:p>
    <w:p w:rsidR="00142706" w:rsidRPr="001E521E" w:rsidRDefault="00142706" w:rsidP="00142706">
      <w:pPr>
        <w:pStyle w:val="Prrafodelista"/>
        <w:numPr>
          <w:ilvl w:val="0"/>
          <w:numId w:val="5"/>
        </w:numPr>
        <w:spacing w:after="0" w:line="360" w:lineRule="auto"/>
        <w:jc w:val="both"/>
        <w:rPr>
          <w:rFonts w:ascii="Palatino Linotype" w:eastAsia="Calibri" w:hAnsi="Palatino Linotype" w:cs="Tahoma"/>
          <w:sz w:val="24"/>
          <w:szCs w:val="24"/>
          <w:lang w:eastAsia="es-ES_tradnl"/>
        </w:rPr>
      </w:pPr>
      <w:r w:rsidRPr="001E521E">
        <w:rPr>
          <w:rFonts w:ascii="Palatino Linotype" w:eastAsia="Calibri" w:hAnsi="Palatino Linotype" w:cs="Tahoma"/>
          <w:iCs/>
          <w:sz w:val="24"/>
          <w:szCs w:val="24"/>
          <w:lang w:eastAsia="es-ES_tradnl"/>
        </w:rPr>
        <w:t xml:space="preserve">Labores que desempeña </w:t>
      </w:r>
    </w:p>
    <w:p w:rsidR="00142706" w:rsidRPr="001E521E" w:rsidRDefault="00142706" w:rsidP="00142706">
      <w:pPr>
        <w:pStyle w:val="Prrafodelista"/>
        <w:numPr>
          <w:ilvl w:val="0"/>
          <w:numId w:val="5"/>
        </w:numPr>
        <w:spacing w:after="0" w:line="360" w:lineRule="auto"/>
        <w:jc w:val="both"/>
        <w:rPr>
          <w:rFonts w:ascii="Palatino Linotype" w:eastAsia="Calibri" w:hAnsi="Palatino Linotype" w:cs="Tahoma"/>
          <w:sz w:val="24"/>
          <w:szCs w:val="24"/>
          <w:lang w:eastAsia="es-ES_tradnl"/>
        </w:rPr>
      </w:pPr>
      <w:r w:rsidRPr="001E521E">
        <w:rPr>
          <w:rFonts w:ascii="Palatino Linotype" w:eastAsia="Calibri" w:hAnsi="Palatino Linotype" w:cs="Tahoma"/>
          <w:sz w:val="24"/>
          <w:szCs w:val="24"/>
          <w:lang w:eastAsia="es-ES_tradnl"/>
        </w:rPr>
        <w:t xml:space="preserve">Percepción económica </w:t>
      </w:r>
    </w:p>
    <w:p w:rsidR="00142706" w:rsidRPr="001E521E" w:rsidRDefault="00142706" w:rsidP="00142706">
      <w:pPr>
        <w:pStyle w:val="Prrafodelista"/>
        <w:numPr>
          <w:ilvl w:val="0"/>
          <w:numId w:val="5"/>
        </w:numPr>
        <w:spacing w:after="0" w:line="360" w:lineRule="auto"/>
        <w:jc w:val="both"/>
        <w:rPr>
          <w:rFonts w:ascii="Palatino Linotype" w:eastAsia="Calibri" w:hAnsi="Palatino Linotype" w:cs="Tahoma"/>
          <w:sz w:val="24"/>
          <w:szCs w:val="24"/>
          <w:lang w:eastAsia="es-ES_tradnl"/>
        </w:rPr>
      </w:pPr>
      <w:r w:rsidRPr="001E521E">
        <w:rPr>
          <w:rFonts w:ascii="Palatino Linotype" w:eastAsia="Calibri" w:hAnsi="Palatino Linotype" w:cs="Tahoma"/>
          <w:sz w:val="24"/>
          <w:szCs w:val="24"/>
          <w:lang w:eastAsia="es-ES_tradnl"/>
        </w:rPr>
        <w:t>Horario de trabajo</w:t>
      </w:r>
    </w:p>
    <w:p w:rsidR="00142706" w:rsidRPr="001E521E" w:rsidRDefault="00142706" w:rsidP="00142706">
      <w:pPr>
        <w:pStyle w:val="Prrafodelista"/>
        <w:numPr>
          <w:ilvl w:val="0"/>
          <w:numId w:val="5"/>
        </w:numPr>
        <w:spacing w:after="0" w:line="360" w:lineRule="auto"/>
        <w:jc w:val="both"/>
        <w:rPr>
          <w:rFonts w:ascii="Palatino Linotype" w:eastAsia="Calibri" w:hAnsi="Palatino Linotype" w:cs="Tahoma"/>
          <w:sz w:val="24"/>
          <w:szCs w:val="24"/>
          <w:lang w:eastAsia="es-ES_tradnl"/>
        </w:rPr>
      </w:pPr>
      <w:r w:rsidRPr="001E521E">
        <w:rPr>
          <w:rFonts w:ascii="Palatino Linotype" w:eastAsia="Calibri" w:hAnsi="Palatino Linotype" w:cs="Tahoma"/>
          <w:sz w:val="24"/>
          <w:szCs w:val="24"/>
          <w:lang w:eastAsia="es-ES_tradnl"/>
        </w:rPr>
        <w:t xml:space="preserve">Perfil </w:t>
      </w:r>
    </w:p>
    <w:p w:rsidR="00142706" w:rsidRPr="001E521E" w:rsidRDefault="00142706" w:rsidP="00142706">
      <w:pPr>
        <w:pStyle w:val="Prrafodelista"/>
        <w:numPr>
          <w:ilvl w:val="0"/>
          <w:numId w:val="5"/>
        </w:numPr>
        <w:spacing w:after="0" w:line="360" w:lineRule="auto"/>
        <w:jc w:val="both"/>
        <w:rPr>
          <w:rFonts w:ascii="Palatino Linotype" w:eastAsia="Calibri" w:hAnsi="Palatino Linotype" w:cs="Tahoma"/>
          <w:i/>
          <w:sz w:val="24"/>
          <w:szCs w:val="24"/>
          <w:lang w:eastAsia="es-ES_tradnl"/>
        </w:rPr>
      </w:pPr>
      <w:r w:rsidRPr="001E521E">
        <w:rPr>
          <w:rFonts w:ascii="Palatino Linotype" w:eastAsia="Calibri" w:hAnsi="Palatino Linotype" w:cs="Tahoma"/>
          <w:i/>
          <w:sz w:val="24"/>
          <w:szCs w:val="24"/>
          <w:lang w:eastAsia="es-ES_tradnl"/>
        </w:rPr>
        <w:t xml:space="preserve">Curriculum Vitae </w:t>
      </w:r>
    </w:p>
    <w:p w:rsidR="00142706" w:rsidRPr="001E521E" w:rsidRDefault="00142706" w:rsidP="00142706">
      <w:pPr>
        <w:pStyle w:val="Prrafodelista"/>
        <w:numPr>
          <w:ilvl w:val="0"/>
          <w:numId w:val="5"/>
        </w:numPr>
        <w:spacing w:after="0" w:line="360" w:lineRule="auto"/>
        <w:jc w:val="both"/>
        <w:rPr>
          <w:rFonts w:ascii="Palatino Linotype" w:eastAsia="Calibri" w:hAnsi="Palatino Linotype" w:cs="Tahoma"/>
          <w:sz w:val="24"/>
          <w:szCs w:val="24"/>
          <w:lang w:eastAsia="es-ES_tradnl"/>
        </w:rPr>
      </w:pPr>
      <w:r w:rsidRPr="001E521E">
        <w:rPr>
          <w:rFonts w:ascii="Palatino Linotype" w:eastAsia="Calibri" w:hAnsi="Palatino Linotype" w:cs="Tahoma"/>
          <w:sz w:val="24"/>
          <w:szCs w:val="24"/>
          <w:lang w:eastAsia="es-ES_tradnl"/>
        </w:rPr>
        <w:t>Documentos que den cuenta de su preparación académica</w:t>
      </w:r>
    </w:p>
    <w:p w:rsidR="00142706" w:rsidRPr="001E521E" w:rsidRDefault="00142706" w:rsidP="00142706">
      <w:pPr>
        <w:pStyle w:val="Prrafodelista"/>
        <w:numPr>
          <w:ilvl w:val="0"/>
          <w:numId w:val="5"/>
        </w:numPr>
        <w:spacing w:after="0" w:line="360" w:lineRule="auto"/>
        <w:jc w:val="both"/>
        <w:rPr>
          <w:rFonts w:ascii="Palatino Linotype" w:eastAsia="Calibri" w:hAnsi="Palatino Linotype" w:cs="Tahoma"/>
          <w:sz w:val="24"/>
          <w:szCs w:val="24"/>
          <w:lang w:eastAsia="es-ES_tradnl"/>
        </w:rPr>
      </w:pPr>
      <w:r w:rsidRPr="001E521E">
        <w:rPr>
          <w:rFonts w:ascii="Palatino Linotype" w:eastAsia="Calibri" w:hAnsi="Palatino Linotype" w:cs="Tahoma"/>
          <w:sz w:val="24"/>
          <w:szCs w:val="24"/>
          <w:lang w:eastAsia="es-ES_tradnl"/>
        </w:rPr>
        <w:t>Nombramiento para fungir como representante institucional ante el ISSEMyM</w:t>
      </w:r>
    </w:p>
    <w:p w:rsidR="00142706" w:rsidRPr="001E521E" w:rsidRDefault="00142706" w:rsidP="00142706">
      <w:pPr>
        <w:spacing w:line="360" w:lineRule="auto"/>
        <w:jc w:val="both"/>
        <w:rPr>
          <w:rFonts w:ascii="Palatino Linotype" w:eastAsia="Calibri" w:hAnsi="Palatino Linotype" w:cs="Tahoma"/>
          <w:sz w:val="24"/>
          <w:szCs w:val="24"/>
          <w:lang w:eastAsia="es-ES_tradnl"/>
        </w:rPr>
      </w:pPr>
      <w:r w:rsidRPr="001E521E">
        <w:rPr>
          <w:rFonts w:ascii="Palatino Linotype" w:eastAsia="Calibri" w:hAnsi="Palatino Linotype" w:cs="Tahoma"/>
          <w:sz w:val="24"/>
          <w:szCs w:val="24"/>
          <w:lang w:eastAsia="es-ES_tradnl"/>
        </w:rPr>
        <w:t>En respuesta, el Sujeto Obligado manifestó lo siguiente:</w:t>
      </w:r>
    </w:p>
    <w:p w:rsidR="00142706" w:rsidRPr="001E521E" w:rsidRDefault="00142706" w:rsidP="00142706">
      <w:pPr>
        <w:pStyle w:val="Prrafodelista"/>
        <w:numPr>
          <w:ilvl w:val="0"/>
          <w:numId w:val="6"/>
        </w:numPr>
        <w:autoSpaceDE w:val="0"/>
        <w:autoSpaceDN w:val="0"/>
        <w:adjustRightInd w:val="0"/>
        <w:spacing w:after="0" w:line="360" w:lineRule="auto"/>
        <w:ind w:right="567"/>
        <w:jc w:val="both"/>
        <w:rPr>
          <w:rFonts w:ascii="Palatino Linotype" w:hAnsi="Palatino Linotype" w:cs="Tahoma"/>
          <w:sz w:val="24"/>
          <w:szCs w:val="24"/>
        </w:rPr>
      </w:pPr>
      <w:r w:rsidRPr="001E521E">
        <w:rPr>
          <w:rFonts w:ascii="Palatino Linotype" w:hAnsi="Palatino Linotype" w:cs="Tahoma"/>
          <w:sz w:val="24"/>
          <w:szCs w:val="24"/>
        </w:rPr>
        <w:lastRenderedPageBreak/>
        <w:t xml:space="preserve">Respecto a las labores que desempeña se informó que se desempeña como Profesora de asignatura. </w:t>
      </w:r>
    </w:p>
    <w:p w:rsidR="00142706" w:rsidRPr="001E521E" w:rsidRDefault="00142706" w:rsidP="00142706">
      <w:pPr>
        <w:pStyle w:val="Prrafodelista"/>
        <w:numPr>
          <w:ilvl w:val="0"/>
          <w:numId w:val="6"/>
        </w:numPr>
        <w:autoSpaceDE w:val="0"/>
        <w:autoSpaceDN w:val="0"/>
        <w:adjustRightInd w:val="0"/>
        <w:spacing w:after="0" w:line="360" w:lineRule="auto"/>
        <w:ind w:right="567"/>
        <w:jc w:val="both"/>
        <w:rPr>
          <w:rFonts w:ascii="Palatino Linotype" w:hAnsi="Palatino Linotype" w:cs="Tahoma"/>
          <w:sz w:val="24"/>
          <w:szCs w:val="24"/>
        </w:rPr>
      </w:pPr>
      <w:r w:rsidRPr="001E521E">
        <w:rPr>
          <w:rFonts w:ascii="Palatino Linotype" w:hAnsi="Palatino Linotype" w:cs="Tahoma"/>
          <w:sz w:val="24"/>
          <w:szCs w:val="24"/>
        </w:rPr>
        <w:t xml:space="preserve">Respecto a las percepciones económicas que recibe la profesora, se informó que de conformidad a las obligaciones de transparencia, esta información es pública y puede ser consultada en el portal de Información Pública de Oficio Mexiquense (IPOMEX), e indicó paso a paso la ruta a seguir para consultar la información. </w:t>
      </w:r>
    </w:p>
    <w:p w:rsidR="00142706" w:rsidRPr="001E521E" w:rsidRDefault="00142706" w:rsidP="00142706">
      <w:pPr>
        <w:pStyle w:val="Prrafodelista"/>
        <w:numPr>
          <w:ilvl w:val="0"/>
          <w:numId w:val="6"/>
        </w:numPr>
        <w:autoSpaceDE w:val="0"/>
        <w:autoSpaceDN w:val="0"/>
        <w:adjustRightInd w:val="0"/>
        <w:spacing w:after="0" w:line="360" w:lineRule="auto"/>
        <w:ind w:right="567"/>
        <w:jc w:val="both"/>
        <w:rPr>
          <w:rFonts w:ascii="Palatino Linotype" w:hAnsi="Palatino Linotype" w:cs="Tahoma"/>
          <w:sz w:val="24"/>
          <w:szCs w:val="24"/>
        </w:rPr>
      </w:pPr>
      <w:r w:rsidRPr="001E521E">
        <w:rPr>
          <w:rFonts w:ascii="Palatino Linotype" w:hAnsi="Palatino Linotype" w:cs="Tahoma"/>
          <w:sz w:val="24"/>
          <w:szCs w:val="24"/>
        </w:rPr>
        <w:t xml:space="preserve">En relación con el horario de trabajo, adjuntó la carga de horaria correspondiente al cuatrimestre septiembre-diciembre de dos mil dieciocho. </w:t>
      </w:r>
    </w:p>
    <w:p w:rsidR="00142706" w:rsidRPr="001E521E" w:rsidRDefault="00142706" w:rsidP="00142706">
      <w:pPr>
        <w:pStyle w:val="Prrafodelista"/>
        <w:numPr>
          <w:ilvl w:val="0"/>
          <w:numId w:val="6"/>
        </w:numPr>
        <w:autoSpaceDE w:val="0"/>
        <w:autoSpaceDN w:val="0"/>
        <w:adjustRightInd w:val="0"/>
        <w:spacing w:after="0" w:line="360" w:lineRule="auto"/>
        <w:ind w:right="567"/>
        <w:jc w:val="both"/>
        <w:rPr>
          <w:rFonts w:ascii="Palatino Linotype" w:hAnsi="Palatino Linotype" w:cs="Tahoma"/>
          <w:sz w:val="24"/>
          <w:szCs w:val="24"/>
        </w:rPr>
      </w:pPr>
      <w:r w:rsidRPr="001E521E">
        <w:rPr>
          <w:rFonts w:ascii="Palatino Linotype" w:hAnsi="Palatino Linotype" w:cs="Tahoma"/>
          <w:sz w:val="24"/>
          <w:szCs w:val="24"/>
        </w:rPr>
        <w:t xml:space="preserve">De igual forma, indicó los pasos para consultar en el Portal Información Pública de Oficio Mexiquense (IPOMEX), el perfil del puesto de la servidora pública, al ser considerado una obligación de transparencia. </w:t>
      </w:r>
    </w:p>
    <w:p w:rsidR="00142706" w:rsidRPr="001E521E" w:rsidRDefault="00142706" w:rsidP="00142706">
      <w:pPr>
        <w:pStyle w:val="Prrafodelista"/>
        <w:numPr>
          <w:ilvl w:val="0"/>
          <w:numId w:val="6"/>
        </w:numPr>
        <w:autoSpaceDE w:val="0"/>
        <w:autoSpaceDN w:val="0"/>
        <w:adjustRightInd w:val="0"/>
        <w:spacing w:after="0" w:line="360" w:lineRule="auto"/>
        <w:ind w:right="567"/>
        <w:jc w:val="both"/>
        <w:rPr>
          <w:rFonts w:ascii="Palatino Linotype" w:hAnsi="Palatino Linotype" w:cs="Tahoma"/>
          <w:sz w:val="24"/>
          <w:szCs w:val="24"/>
        </w:rPr>
      </w:pPr>
      <w:r w:rsidRPr="001E521E">
        <w:rPr>
          <w:rFonts w:ascii="Palatino Linotype" w:hAnsi="Palatino Linotype" w:cs="Tahoma"/>
          <w:sz w:val="24"/>
          <w:szCs w:val="24"/>
        </w:rPr>
        <w:t xml:space="preserve">En relación al </w:t>
      </w:r>
      <w:r w:rsidRPr="001E521E">
        <w:rPr>
          <w:rFonts w:ascii="Palatino Linotype" w:hAnsi="Palatino Linotype" w:cs="Tahoma"/>
          <w:i/>
          <w:sz w:val="24"/>
          <w:szCs w:val="24"/>
        </w:rPr>
        <w:t>Curriculum</w:t>
      </w:r>
      <w:r w:rsidRPr="001E521E">
        <w:rPr>
          <w:rFonts w:ascii="Palatino Linotype" w:hAnsi="Palatino Linotype" w:cs="Tahoma"/>
          <w:sz w:val="24"/>
          <w:szCs w:val="24"/>
        </w:rPr>
        <w:t xml:space="preserve"> </w:t>
      </w:r>
      <w:r w:rsidRPr="001E521E">
        <w:rPr>
          <w:rFonts w:ascii="Palatino Linotype" w:hAnsi="Palatino Linotype" w:cs="Tahoma"/>
          <w:i/>
          <w:sz w:val="24"/>
          <w:szCs w:val="24"/>
        </w:rPr>
        <w:t>Vitae</w:t>
      </w:r>
      <w:r w:rsidRPr="001E521E">
        <w:rPr>
          <w:rFonts w:ascii="Palatino Linotype" w:hAnsi="Palatino Linotype" w:cs="Tahoma"/>
          <w:sz w:val="24"/>
          <w:szCs w:val="24"/>
        </w:rPr>
        <w:t xml:space="preserve"> de la servidora pública, adjuntó la ficha curricular que contiene la información solicitada. </w:t>
      </w:r>
    </w:p>
    <w:p w:rsidR="00142706" w:rsidRPr="001E521E" w:rsidRDefault="00142706" w:rsidP="00142706">
      <w:pPr>
        <w:pStyle w:val="Prrafodelista"/>
        <w:numPr>
          <w:ilvl w:val="0"/>
          <w:numId w:val="6"/>
        </w:numPr>
        <w:autoSpaceDE w:val="0"/>
        <w:autoSpaceDN w:val="0"/>
        <w:adjustRightInd w:val="0"/>
        <w:spacing w:after="0" w:line="360" w:lineRule="auto"/>
        <w:ind w:right="567"/>
        <w:jc w:val="both"/>
        <w:rPr>
          <w:rFonts w:ascii="Palatino Linotype" w:hAnsi="Palatino Linotype" w:cs="Tahoma"/>
          <w:sz w:val="24"/>
          <w:szCs w:val="24"/>
        </w:rPr>
      </w:pPr>
      <w:r w:rsidRPr="001E521E">
        <w:rPr>
          <w:rFonts w:ascii="Palatino Linotype" w:hAnsi="Palatino Linotype" w:cs="Tahoma"/>
          <w:sz w:val="24"/>
          <w:szCs w:val="24"/>
        </w:rPr>
        <w:t>Por lo que hace a los documentos que comprueban su preparación académica, se adjuntó a la respuesta inicial, la versión publica del Título Profesional de Contador Público, expedido por la Universidad Autónoma del Estado de México.</w:t>
      </w:r>
    </w:p>
    <w:p w:rsidR="00142706" w:rsidRPr="001E521E" w:rsidRDefault="00142706" w:rsidP="00142706">
      <w:pPr>
        <w:pStyle w:val="Prrafodelista"/>
        <w:numPr>
          <w:ilvl w:val="0"/>
          <w:numId w:val="6"/>
        </w:numPr>
        <w:autoSpaceDE w:val="0"/>
        <w:autoSpaceDN w:val="0"/>
        <w:adjustRightInd w:val="0"/>
        <w:spacing w:after="0" w:line="360" w:lineRule="auto"/>
        <w:ind w:right="567"/>
        <w:jc w:val="both"/>
        <w:rPr>
          <w:rFonts w:ascii="Palatino Linotype" w:hAnsi="Palatino Linotype" w:cs="Tahoma"/>
          <w:sz w:val="24"/>
          <w:szCs w:val="24"/>
        </w:rPr>
      </w:pPr>
      <w:r w:rsidRPr="001E521E">
        <w:rPr>
          <w:rFonts w:ascii="Palatino Linotype" w:hAnsi="Palatino Linotype" w:cs="Tahoma"/>
          <w:sz w:val="24"/>
          <w:szCs w:val="24"/>
        </w:rPr>
        <w:t xml:space="preserve">Por último, en relación con el nombramiento solicitado, mediante el oficio 205BL14002/2018 emitido por la Jefa del Departamento de Recursos Humanos y Materiales, informó que no se genera, ni se posee documento alguno donde conste el nombramiento de la servidora pública para fungir como representante </w:t>
      </w:r>
      <w:r w:rsidRPr="001E521E">
        <w:rPr>
          <w:rFonts w:ascii="Palatino Linotype" w:hAnsi="Palatino Linotype" w:cs="Tahoma"/>
          <w:sz w:val="24"/>
          <w:szCs w:val="24"/>
        </w:rPr>
        <w:lastRenderedPageBreak/>
        <w:t xml:space="preserve">ante el ISSEMYM, de igual forma, indicó que no existe obligación o supuesto que faculte a tener un representante ante el ISSEMYM. </w:t>
      </w:r>
    </w:p>
    <w:p w:rsidR="00142706" w:rsidRDefault="00142706" w:rsidP="0037497D">
      <w:pPr>
        <w:spacing w:after="0" w:line="360" w:lineRule="auto"/>
        <w:jc w:val="both"/>
        <w:rPr>
          <w:rFonts w:ascii="Palatino Linotype" w:hAnsi="Palatino Linotype"/>
          <w:sz w:val="24"/>
          <w:szCs w:val="24"/>
        </w:rPr>
      </w:pPr>
    </w:p>
    <w:p w:rsidR="00142706" w:rsidRPr="001E521E" w:rsidRDefault="00142706" w:rsidP="00142706">
      <w:pPr>
        <w:spacing w:line="360" w:lineRule="auto"/>
        <w:jc w:val="both"/>
        <w:rPr>
          <w:rFonts w:ascii="Palatino Linotype" w:eastAsia="Calibri" w:hAnsi="Palatino Linotype" w:cs="Tahoma"/>
          <w:iCs/>
          <w:sz w:val="24"/>
          <w:szCs w:val="24"/>
          <w:lang w:val="es-ES" w:eastAsia="es-ES_tradnl"/>
        </w:rPr>
      </w:pPr>
      <w:r w:rsidRPr="001E521E">
        <w:rPr>
          <w:rFonts w:ascii="Palatino Linotype" w:eastAsia="Calibri" w:hAnsi="Palatino Linotype" w:cs="Tahoma"/>
          <w:sz w:val="24"/>
          <w:szCs w:val="24"/>
          <w:lang w:eastAsia="es-ES_tradnl"/>
        </w:rPr>
        <w:t>Inconforme con lo anterior, el particular señaló como agravió, que la información se encontraba incompleta, ya que faltaba el documento que comprobara los estudios de maestría de la servidora pública y por lo que hace al numeral siete (</w:t>
      </w:r>
      <w:r w:rsidRPr="001E521E">
        <w:rPr>
          <w:rFonts w:ascii="Palatino Linotype" w:hAnsi="Palatino Linotype" w:cs="Tahoma"/>
          <w:sz w:val="24"/>
          <w:szCs w:val="24"/>
        </w:rPr>
        <w:t>nombramiento de la servidora pública para fungir como representante ante el ISSEMYM</w:t>
      </w:r>
      <w:r w:rsidRPr="001E521E">
        <w:rPr>
          <w:rFonts w:ascii="Palatino Linotype" w:eastAsia="Calibri" w:hAnsi="Palatino Linotype" w:cs="Tahoma"/>
          <w:sz w:val="24"/>
          <w:szCs w:val="24"/>
          <w:lang w:eastAsia="es-ES_tradnl"/>
        </w:rPr>
        <w:t xml:space="preserve"> ) señaló que la información le fue negada, debido a que el ISSEMYM ya le informó respecto a la representante,  mientras que el  Sujeto Obligado no entregó la información solicitada</w:t>
      </w:r>
      <w:r w:rsidRPr="001E521E">
        <w:rPr>
          <w:rFonts w:ascii="Palatino Linotype" w:eastAsia="Calibri" w:hAnsi="Palatino Linotype" w:cs="Tahoma"/>
          <w:iCs/>
          <w:sz w:val="24"/>
          <w:szCs w:val="24"/>
          <w:lang w:val="es-ES" w:eastAsia="es-ES_tradnl"/>
        </w:rPr>
        <w:t>.</w:t>
      </w:r>
    </w:p>
    <w:p w:rsidR="00142706" w:rsidRPr="001E521E" w:rsidRDefault="00142706" w:rsidP="0037497D">
      <w:pPr>
        <w:spacing w:after="0" w:line="360" w:lineRule="auto"/>
        <w:jc w:val="both"/>
        <w:rPr>
          <w:rFonts w:ascii="Palatino Linotype" w:hAnsi="Palatino Linotype"/>
          <w:sz w:val="24"/>
          <w:szCs w:val="24"/>
        </w:rPr>
      </w:pPr>
    </w:p>
    <w:p w:rsidR="00E45468" w:rsidRPr="001E521E" w:rsidRDefault="00E45468" w:rsidP="00E07483">
      <w:pPr>
        <w:spacing w:after="0" w:line="360" w:lineRule="auto"/>
        <w:jc w:val="both"/>
        <w:rPr>
          <w:rFonts w:ascii="Palatino Linotype" w:hAnsi="Palatino Linotype" w:cs="Tahoma"/>
          <w:sz w:val="24"/>
          <w:szCs w:val="24"/>
          <w:lang w:val="es-ES"/>
        </w:rPr>
      </w:pPr>
      <w:r w:rsidRPr="001E521E">
        <w:rPr>
          <w:rFonts w:ascii="Palatino Linotype" w:hAnsi="Palatino Linotype"/>
          <w:sz w:val="24"/>
          <w:szCs w:val="24"/>
        </w:rPr>
        <w:t>Así</w:t>
      </w:r>
      <w:r w:rsidR="00142706" w:rsidRPr="001E521E">
        <w:rPr>
          <w:rFonts w:ascii="Palatino Linotype" w:hAnsi="Palatino Linotype"/>
          <w:sz w:val="24"/>
          <w:szCs w:val="24"/>
        </w:rPr>
        <w:t xml:space="preserve">, la ponencia después de realizar un </w:t>
      </w:r>
      <w:r w:rsidRPr="001E521E">
        <w:rPr>
          <w:rFonts w:ascii="Palatino Linotype" w:hAnsi="Palatino Linotype"/>
          <w:sz w:val="24"/>
          <w:szCs w:val="24"/>
        </w:rPr>
        <w:t>análisis</w:t>
      </w:r>
      <w:r w:rsidR="00142706" w:rsidRPr="001E521E">
        <w:rPr>
          <w:rFonts w:ascii="Palatino Linotype" w:hAnsi="Palatino Linotype"/>
          <w:sz w:val="24"/>
          <w:szCs w:val="24"/>
        </w:rPr>
        <w:t xml:space="preserve"> integral de l</w:t>
      </w:r>
      <w:r w:rsidRPr="001E521E">
        <w:rPr>
          <w:rFonts w:ascii="Palatino Linotype" w:hAnsi="Palatino Linotype"/>
          <w:sz w:val="24"/>
          <w:szCs w:val="24"/>
        </w:rPr>
        <w:t>o solicitado en relación con la respuesta que proporciono la  Universidad Politécnica del Valle de Toluca,</w:t>
      </w:r>
      <w:r w:rsidR="00142706" w:rsidRPr="001E521E">
        <w:rPr>
          <w:rFonts w:ascii="Palatino Linotype" w:hAnsi="Palatino Linotype"/>
          <w:sz w:val="24"/>
          <w:szCs w:val="24"/>
        </w:rPr>
        <w:t xml:space="preserve"> </w:t>
      </w:r>
      <w:r w:rsidRPr="001E521E">
        <w:rPr>
          <w:rFonts w:ascii="Palatino Linotype" w:hAnsi="Palatino Linotype"/>
          <w:sz w:val="24"/>
          <w:szCs w:val="24"/>
        </w:rPr>
        <w:t>determinó</w:t>
      </w:r>
      <w:r w:rsidR="00142706" w:rsidRPr="001E521E">
        <w:rPr>
          <w:rFonts w:ascii="Palatino Linotype" w:hAnsi="Palatino Linotype"/>
          <w:sz w:val="24"/>
          <w:szCs w:val="24"/>
        </w:rPr>
        <w:t xml:space="preserve"> la </w:t>
      </w:r>
      <w:r w:rsidRPr="001E521E">
        <w:rPr>
          <w:rFonts w:ascii="Palatino Linotype" w:hAnsi="Palatino Linotype"/>
          <w:sz w:val="24"/>
          <w:szCs w:val="24"/>
        </w:rPr>
        <w:t>procedencia</w:t>
      </w:r>
      <w:r w:rsidR="00142706" w:rsidRPr="001E521E">
        <w:rPr>
          <w:rFonts w:ascii="Palatino Linotype" w:hAnsi="Palatino Linotype"/>
          <w:sz w:val="24"/>
          <w:szCs w:val="24"/>
        </w:rPr>
        <w:t xml:space="preserve"> para efectos de que el </w:t>
      </w:r>
      <w:r w:rsidRPr="001E521E">
        <w:rPr>
          <w:rFonts w:ascii="Palatino Linotype" w:hAnsi="Palatino Linotype"/>
          <w:sz w:val="24"/>
          <w:szCs w:val="24"/>
        </w:rPr>
        <w:t>SUJETO OBLIGADO entre otras cosas</w:t>
      </w:r>
      <w:r w:rsidR="00E07483" w:rsidRPr="001E521E">
        <w:rPr>
          <w:rFonts w:ascii="Palatino Linotype" w:hAnsi="Palatino Linotype"/>
          <w:sz w:val="24"/>
          <w:szCs w:val="24"/>
        </w:rPr>
        <w:t>, entregara</w:t>
      </w:r>
      <w:r w:rsidRPr="001E521E">
        <w:rPr>
          <w:rFonts w:ascii="Palatino Linotype" w:hAnsi="Palatino Linotype"/>
          <w:sz w:val="24"/>
          <w:szCs w:val="24"/>
        </w:rPr>
        <w:t xml:space="preserve"> el documento que dé cuenta </w:t>
      </w:r>
      <w:r w:rsidR="00E07483" w:rsidRPr="001E521E">
        <w:rPr>
          <w:rFonts w:ascii="Palatino Linotype" w:hAnsi="Palatino Linotype"/>
          <w:sz w:val="24"/>
          <w:szCs w:val="24"/>
        </w:rPr>
        <w:t xml:space="preserve"> </w:t>
      </w:r>
      <w:r w:rsidR="00E07483" w:rsidRPr="001E521E">
        <w:rPr>
          <w:rFonts w:ascii="Palatino Linotype" w:hAnsi="Palatino Linotype" w:cs="Tahoma"/>
          <w:sz w:val="24"/>
          <w:szCs w:val="24"/>
          <w:lang w:val="es-ES"/>
        </w:rPr>
        <w:t>d</w:t>
      </w:r>
      <w:r w:rsidRPr="001E521E">
        <w:rPr>
          <w:rFonts w:ascii="Palatino Linotype" w:hAnsi="Palatino Linotype" w:cs="Tahoma"/>
          <w:sz w:val="24"/>
          <w:szCs w:val="24"/>
          <w:lang w:val="es-ES"/>
        </w:rPr>
        <w:t>el grado de maestría, como el máximo grado de estudios</w:t>
      </w:r>
      <w:r w:rsidR="00E07483" w:rsidRPr="001E521E">
        <w:rPr>
          <w:rFonts w:ascii="Palatino Linotype" w:hAnsi="Palatino Linotype" w:cs="Tahoma"/>
          <w:sz w:val="24"/>
          <w:szCs w:val="24"/>
          <w:lang w:val="es-ES"/>
        </w:rPr>
        <w:t>.</w:t>
      </w:r>
    </w:p>
    <w:p w:rsidR="00E07483" w:rsidRPr="001E521E" w:rsidRDefault="00E07483" w:rsidP="00E07483">
      <w:pPr>
        <w:spacing w:after="0" w:line="360" w:lineRule="auto"/>
        <w:jc w:val="both"/>
        <w:rPr>
          <w:rFonts w:ascii="Palatino Linotype" w:hAnsi="Palatino Linotype"/>
          <w:sz w:val="24"/>
          <w:szCs w:val="24"/>
        </w:rPr>
      </w:pPr>
    </w:p>
    <w:p w:rsidR="00E45468" w:rsidRPr="001E521E" w:rsidRDefault="00E07483" w:rsidP="00E45468">
      <w:pPr>
        <w:spacing w:line="360" w:lineRule="auto"/>
        <w:jc w:val="both"/>
        <w:rPr>
          <w:rFonts w:ascii="Palatino Linotype" w:hAnsi="Palatino Linotype" w:cs="Tahoma"/>
          <w:sz w:val="24"/>
          <w:szCs w:val="24"/>
          <w:lang w:val="es-ES"/>
        </w:rPr>
      </w:pPr>
      <w:r w:rsidRPr="001E521E">
        <w:rPr>
          <w:rFonts w:ascii="Palatino Linotype" w:hAnsi="Palatino Linotype" w:cs="Tahoma"/>
          <w:sz w:val="24"/>
          <w:szCs w:val="24"/>
          <w:lang w:val="es-ES"/>
        </w:rPr>
        <w:t>Además</w:t>
      </w:r>
      <w:r w:rsidR="00E45468" w:rsidRPr="001E521E">
        <w:rPr>
          <w:rFonts w:ascii="Palatino Linotype" w:hAnsi="Palatino Linotype" w:cs="Tahoma"/>
          <w:sz w:val="24"/>
          <w:szCs w:val="24"/>
          <w:lang w:val="es-ES"/>
        </w:rPr>
        <w:t>,</w:t>
      </w:r>
      <w:r w:rsidRPr="001E521E">
        <w:rPr>
          <w:rFonts w:ascii="Palatino Linotype" w:hAnsi="Palatino Linotype" w:cs="Tahoma"/>
          <w:sz w:val="24"/>
          <w:szCs w:val="24"/>
          <w:lang w:val="es-ES"/>
        </w:rPr>
        <w:t xml:space="preserve"> la ponencia señala que</w:t>
      </w:r>
      <w:r w:rsidR="00E45468" w:rsidRPr="001E521E">
        <w:rPr>
          <w:rFonts w:ascii="Palatino Linotype" w:hAnsi="Palatino Linotype" w:cs="Tahoma"/>
          <w:sz w:val="24"/>
          <w:szCs w:val="24"/>
          <w:lang w:val="es-ES"/>
        </w:rPr>
        <w:t xml:space="preserve"> debe entenderse que el documento que lo acredita se encuentra en su expediente laboral, más aún si se trata de una profesora </w:t>
      </w:r>
      <w:r w:rsidRPr="001E521E">
        <w:rPr>
          <w:rFonts w:ascii="Palatino Linotype" w:hAnsi="Palatino Linotype" w:cs="Tahoma"/>
          <w:sz w:val="24"/>
          <w:szCs w:val="24"/>
          <w:lang w:val="es-ES"/>
        </w:rPr>
        <w:t>de asignatura, por tal motivo  resulta viable</w:t>
      </w:r>
      <w:r w:rsidR="00E45468" w:rsidRPr="001E521E">
        <w:rPr>
          <w:rFonts w:ascii="Palatino Linotype" w:hAnsi="Palatino Linotype" w:cs="Tahoma"/>
          <w:sz w:val="24"/>
          <w:szCs w:val="24"/>
          <w:lang w:val="es-ES"/>
        </w:rPr>
        <w:t xml:space="preserve"> </w:t>
      </w:r>
      <w:r w:rsidR="00E45468" w:rsidRPr="001E521E">
        <w:rPr>
          <w:rFonts w:ascii="Palatino Linotype" w:hAnsi="Palatino Linotype" w:cs="Tahoma"/>
          <w:bCs/>
          <w:sz w:val="24"/>
          <w:szCs w:val="24"/>
        </w:rPr>
        <w:t xml:space="preserve">previa búsqueda exhaustiva y razonable </w:t>
      </w:r>
      <w:r w:rsidR="00E45468" w:rsidRPr="001E521E">
        <w:rPr>
          <w:rFonts w:ascii="Palatino Linotype" w:hAnsi="Palatino Linotype" w:cs="Tahoma"/>
          <w:b/>
          <w:bCs/>
          <w:sz w:val="24"/>
          <w:szCs w:val="24"/>
        </w:rPr>
        <w:t>ORDENAR la entrega</w:t>
      </w:r>
      <w:r w:rsidR="00E45468" w:rsidRPr="001E521E">
        <w:rPr>
          <w:rFonts w:ascii="Palatino Linotype" w:hAnsi="Palatino Linotype" w:cs="Tahoma"/>
          <w:b/>
          <w:sz w:val="24"/>
          <w:szCs w:val="24"/>
          <w:lang w:val="es-ES"/>
        </w:rPr>
        <w:t xml:space="preserve"> del documento que dé cuenta de los estudios de maestría de la servidora pública</w:t>
      </w:r>
      <w:r w:rsidR="00E45468" w:rsidRPr="001E521E">
        <w:rPr>
          <w:rFonts w:ascii="Palatino Linotype" w:hAnsi="Palatino Linotype" w:cs="Tahoma"/>
          <w:sz w:val="24"/>
          <w:szCs w:val="24"/>
          <w:lang w:val="es-ES"/>
        </w:rPr>
        <w:t xml:space="preserve">. En caso de que dicho documento no se encuentre, bastará con el que el Sujeto Obligado lo indique al </w:t>
      </w:r>
      <w:r w:rsidR="00E45468" w:rsidRPr="001E521E">
        <w:rPr>
          <w:rFonts w:ascii="Palatino Linotype" w:hAnsi="Palatino Linotype" w:cs="Tahoma"/>
          <w:sz w:val="24"/>
          <w:szCs w:val="24"/>
          <w:lang w:val="es-ES"/>
        </w:rPr>
        <w:lastRenderedPageBreak/>
        <w:t>particular, en términos del artículo 19, párrafo segundo de la Ley de Transparencia y Acceso a la Información Pública del Estado de México y Municipios.</w:t>
      </w:r>
    </w:p>
    <w:p w:rsidR="00E45468" w:rsidRPr="001E521E" w:rsidRDefault="00E07483" w:rsidP="00E45468">
      <w:pPr>
        <w:spacing w:line="360" w:lineRule="auto"/>
        <w:jc w:val="both"/>
        <w:rPr>
          <w:rFonts w:ascii="Palatino Linotype" w:hAnsi="Palatino Linotype" w:cs="Tahoma"/>
          <w:sz w:val="24"/>
          <w:szCs w:val="24"/>
          <w:lang w:val="es-ES"/>
        </w:rPr>
      </w:pPr>
      <w:r w:rsidRPr="001E521E">
        <w:rPr>
          <w:rFonts w:ascii="Palatino Linotype" w:hAnsi="Palatino Linotype" w:cs="Tahoma"/>
          <w:sz w:val="24"/>
          <w:szCs w:val="24"/>
          <w:lang w:val="es-ES"/>
        </w:rPr>
        <w:t>Finalmente, la ponencia refiere que e</w:t>
      </w:r>
      <w:r w:rsidR="00E45468" w:rsidRPr="001E521E">
        <w:rPr>
          <w:rFonts w:ascii="Palatino Linotype" w:hAnsi="Palatino Linotype" w:cs="Tahoma"/>
          <w:sz w:val="24"/>
          <w:szCs w:val="24"/>
          <w:lang w:val="es-ES"/>
        </w:rPr>
        <w:t>n caso de que el documento que dé cuenta de los estudios de maestría sea el Título o la Cédula Profesional, su entrega debe llevarse a cabo dejando visible la fotografía</w:t>
      </w:r>
      <w:r w:rsidRPr="001E521E">
        <w:rPr>
          <w:rFonts w:ascii="Palatino Linotype" w:hAnsi="Palatino Linotype" w:cs="Tahoma"/>
          <w:sz w:val="24"/>
          <w:szCs w:val="24"/>
          <w:lang w:val="es-ES"/>
        </w:rPr>
        <w:t xml:space="preserve">. </w:t>
      </w:r>
    </w:p>
    <w:p w:rsidR="00745853" w:rsidRPr="001E521E" w:rsidRDefault="00745853" w:rsidP="0037497D">
      <w:pPr>
        <w:spacing w:after="0" w:line="360" w:lineRule="auto"/>
        <w:jc w:val="both"/>
        <w:rPr>
          <w:rFonts w:ascii="Palatino Linotype" w:eastAsia="MS Mincho" w:hAnsi="Palatino Linotype" w:cstheme="majorBidi"/>
          <w:iCs/>
          <w:sz w:val="24"/>
          <w:szCs w:val="24"/>
          <w:lang w:val="es-ES_tradnl" w:eastAsia="es-ES"/>
        </w:rPr>
      </w:pPr>
    </w:p>
    <w:p w:rsidR="0037497D" w:rsidRPr="001E521E" w:rsidRDefault="0037497D" w:rsidP="0037497D">
      <w:pPr>
        <w:spacing w:after="0" w:line="360" w:lineRule="auto"/>
        <w:jc w:val="both"/>
        <w:rPr>
          <w:rFonts w:ascii="Palatino Linotype" w:hAnsi="Palatino Linotype"/>
          <w:sz w:val="24"/>
          <w:szCs w:val="24"/>
          <w:lang w:val="es-ES"/>
        </w:rPr>
      </w:pPr>
      <w:r w:rsidRPr="001E521E">
        <w:rPr>
          <w:rFonts w:ascii="Palatino Linotype" w:hAnsi="Palatino Linotype"/>
          <w:sz w:val="24"/>
          <w:szCs w:val="24"/>
        </w:rPr>
        <w:t xml:space="preserve">De lo precisado con antelación, el suscrito estima pertinente referir que si bien es cierto, coincide que se haga entrega de la referida documental en versión pública, empero difiere en que se dejen visibles los datos consistentes en la fotografía de la persona a favor de quien se expidió la documental en mención, lo anterior es así, toda vez que no se debe perder de vista que los mismos constituyen datos personales que hacen identificable a la persona, por lo que son </w:t>
      </w:r>
      <w:r w:rsidRPr="001E521E">
        <w:rPr>
          <w:rFonts w:ascii="Palatino Linotype" w:hAnsi="Palatino Linotype"/>
          <w:sz w:val="24"/>
          <w:szCs w:val="24"/>
          <w:lang w:val="es-ES"/>
        </w:rPr>
        <w:t xml:space="preserve">susceptibles de ser testados con el </w:t>
      </w:r>
      <w:r w:rsidRPr="001E521E">
        <w:rPr>
          <w:rFonts w:ascii="Palatino Linotype" w:hAnsi="Palatino Linotype"/>
          <w:sz w:val="24"/>
          <w:szCs w:val="24"/>
          <w:lang w:val="es-ES_tradnl"/>
        </w:rPr>
        <w:t xml:space="preserve">objeto de protegerlos, </w:t>
      </w:r>
      <w:r w:rsidRPr="001E521E">
        <w:rPr>
          <w:rFonts w:ascii="Palatino Linotype" w:hAnsi="Palatino Linotype"/>
          <w:sz w:val="24"/>
          <w:szCs w:val="24"/>
          <w:lang w:val="es-ES"/>
        </w:rPr>
        <w:t>en términos del artículo 4 fracción VII de la Ley de Protección de Datos Personales del Estado de México.</w:t>
      </w:r>
    </w:p>
    <w:p w:rsidR="0037497D" w:rsidRPr="001E521E" w:rsidRDefault="0037497D" w:rsidP="0037497D">
      <w:pPr>
        <w:spacing w:after="0" w:line="360" w:lineRule="auto"/>
        <w:jc w:val="both"/>
        <w:rPr>
          <w:rFonts w:ascii="Palatino Linotype" w:hAnsi="Palatino Linotype"/>
          <w:sz w:val="24"/>
          <w:szCs w:val="24"/>
          <w:lang w:val="es-ES"/>
        </w:rPr>
      </w:pPr>
      <w:r w:rsidRPr="001E521E">
        <w:rPr>
          <w:rFonts w:ascii="Palatino Linotype" w:hAnsi="Palatino Linotype"/>
          <w:sz w:val="24"/>
          <w:szCs w:val="24"/>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r w:rsidRPr="001E521E">
        <w:rPr>
          <w:rFonts w:ascii="Palatino Linotype" w:hAnsi="Palatino Linotype"/>
          <w:sz w:val="24"/>
          <w:szCs w:val="24"/>
          <w:lang w:val="es-ES"/>
        </w:rPr>
        <w:tab/>
      </w:r>
    </w:p>
    <w:p w:rsidR="0037497D" w:rsidRPr="001E521E" w:rsidRDefault="0037497D" w:rsidP="0037497D">
      <w:pPr>
        <w:spacing w:after="0" w:line="240" w:lineRule="auto"/>
        <w:ind w:left="851" w:right="851"/>
        <w:jc w:val="both"/>
        <w:rPr>
          <w:rFonts w:ascii="Palatino Linotype" w:hAnsi="Palatino Linotype"/>
          <w:i/>
          <w:sz w:val="24"/>
          <w:szCs w:val="24"/>
        </w:rPr>
      </w:pPr>
      <w:r w:rsidRPr="001E521E">
        <w:rPr>
          <w:rFonts w:ascii="Palatino Linotype" w:hAnsi="Palatino Linotype"/>
          <w:i/>
          <w:sz w:val="24"/>
          <w:szCs w:val="24"/>
          <w:lang w:val="es-ES"/>
        </w:rPr>
        <w:t>"</w:t>
      </w:r>
      <w:r w:rsidRPr="001E521E">
        <w:rPr>
          <w:rFonts w:ascii="Palatino Linotype" w:hAnsi="Palatino Linotype"/>
          <w:b/>
          <w:bCs/>
          <w:i/>
          <w:sz w:val="24"/>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1E521E">
        <w:rPr>
          <w:rFonts w:ascii="Palatino Linotype" w:hAnsi="Palatino Linotype"/>
          <w:i/>
          <w:sz w:val="24"/>
          <w:szCs w:val="24"/>
        </w:rPr>
        <w:t xml:space="preserve"> Si se toma en cuenta que la garantía constitucional indicada no implica que todos los sujetos de la norma siempre se encuentren en condiciones de absoluta igualdad, sino que gocen de una igualdad jurídica traducida en </w:t>
      </w:r>
      <w:r w:rsidRPr="001E521E">
        <w:rPr>
          <w:rFonts w:ascii="Palatino Linotype" w:hAnsi="Palatino Linotype"/>
          <w:i/>
          <w:sz w:val="24"/>
          <w:szCs w:val="24"/>
        </w:rPr>
        <w:lastRenderedPageBreak/>
        <w:t xml:space="preserve">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w:t>
      </w:r>
      <w:r w:rsidRPr="001E521E">
        <w:rPr>
          <w:rFonts w:ascii="Palatino Linotype" w:hAnsi="Palatino Linotype"/>
          <w:bCs/>
          <w:i/>
          <w:sz w:val="24"/>
          <w:szCs w:val="24"/>
        </w:rPr>
        <w:t>datos</w:t>
      </w:r>
      <w:r w:rsidRPr="001E521E">
        <w:rPr>
          <w:rFonts w:ascii="Palatino Linotype" w:hAnsi="Palatino Linotype"/>
          <w:i/>
          <w:sz w:val="24"/>
          <w:szCs w:val="24"/>
        </w:rPr>
        <w:t xml:space="preserve"> </w:t>
      </w:r>
      <w:r w:rsidRPr="001E521E">
        <w:rPr>
          <w:rFonts w:ascii="Palatino Linotype" w:hAnsi="Palatino Linotype"/>
          <w:bCs/>
          <w:i/>
          <w:sz w:val="24"/>
          <w:szCs w:val="24"/>
        </w:rPr>
        <w:t>personales</w:t>
      </w:r>
      <w:r w:rsidRPr="001E521E">
        <w:rPr>
          <w:rFonts w:ascii="Palatino Linotype" w:hAnsi="Palatino Linotype"/>
          <w:i/>
          <w:sz w:val="24"/>
          <w:szCs w:val="24"/>
        </w:rPr>
        <w:t xml:space="preserve"> de las personas </w:t>
      </w:r>
      <w:r w:rsidRPr="001E521E">
        <w:rPr>
          <w:rFonts w:ascii="Palatino Linotype" w:hAnsi="Palatino Linotype"/>
          <w:bCs/>
          <w:i/>
          <w:sz w:val="24"/>
          <w:szCs w:val="24"/>
        </w:rPr>
        <w:t>físicas</w:t>
      </w:r>
      <w:r w:rsidRPr="001E521E">
        <w:rPr>
          <w:rFonts w:ascii="Palatino Linotype" w:hAnsi="Palatino Linotype"/>
          <w:i/>
          <w:sz w:val="24"/>
          <w:szCs w:val="24"/>
        </w:rPr>
        <w:t xml:space="preserve"> y no de las morales, colectivas o jurídicas privadas, no violan la indicada garantía contenida en el artículo 1o. de la Constitución Política de los Estados Unidos Mexicanos, pues tal distinción se justifica porque el derecho a la protección de los </w:t>
      </w:r>
      <w:r w:rsidRPr="001E521E">
        <w:rPr>
          <w:rFonts w:ascii="Palatino Linotype" w:hAnsi="Palatino Linotype"/>
          <w:bCs/>
          <w:i/>
          <w:sz w:val="24"/>
          <w:szCs w:val="24"/>
        </w:rPr>
        <w:t>datos</w:t>
      </w:r>
      <w:r w:rsidRPr="001E521E">
        <w:rPr>
          <w:rFonts w:ascii="Palatino Linotype" w:hAnsi="Palatino Linotype"/>
          <w:i/>
          <w:sz w:val="24"/>
          <w:szCs w:val="24"/>
        </w:rPr>
        <w:t xml:space="preserve"> </w:t>
      </w:r>
      <w:r w:rsidRPr="001E521E">
        <w:rPr>
          <w:rFonts w:ascii="Palatino Linotype" w:hAnsi="Palatino Linotype"/>
          <w:bCs/>
          <w:i/>
          <w:sz w:val="24"/>
          <w:szCs w:val="24"/>
        </w:rPr>
        <w:t>personales</w:t>
      </w:r>
      <w:r w:rsidRPr="001E521E">
        <w:rPr>
          <w:rFonts w:ascii="Palatino Linotype" w:hAnsi="Palatino Linotype"/>
          <w:i/>
          <w:sz w:val="24"/>
          <w:szCs w:val="24"/>
        </w:rPr>
        <w:t xml:space="preserve"> se refiere únicamente a las personas </w:t>
      </w:r>
      <w:r w:rsidRPr="001E521E">
        <w:rPr>
          <w:rFonts w:ascii="Palatino Linotype" w:hAnsi="Palatino Linotype"/>
          <w:bCs/>
          <w:i/>
          <w:sz w:val="24"/>
          <w:szCs w:val="24"/>
        </w:rPr>
        <w:t>físicas</w:t>
      </w:r>
      <w:r w:rsidRPr="001E521E">
        <w:rPr>
          <w:rFonts w:ascii="Palatino Linotype" w:hAnsi="Palatino Linotype"/>
          <w:i/>
          <w:sz w:val="24"/>
          <w:szCs w:val="24"/>
        </w:rPr>
        <w:t xml:space="preserve"> por estar encausado al respeto de un derecho personalísimo, como es el de la intimidad, del cual derivó aquél. Esto es, en el apuntado supuesto no se actualiza una igualdad jurídica entre las personas </w:t>
      </w:r>
      <w:r w:rsidRPr="001E521E">
        <w:rPr>
          <w:rFonts w:ascii="Palatino Linotype" w:hAnsi="Palatino Linotype"/>
          <w:bCs/>
          <w:i/>
          <w:sz w:val="24"/>
          <w:szCs w:val="24"/>
        </w:rPr>
        <w:t>físicas</w:t>
      </w:r>
      <w:r w:rsidRPr="001E521E">
        <w:rPr>
          <w:rFonts w:ascii="Palatino Linotype" w:hAnsi="Palatino Linotype"/>
          <w:i/>
          <w:sz w:val="24"/>
          <w:szCs w:val="24"/>
        </w:rPr>
        <w:t xml:space="preserve"> y las morales porque ambas están en situaciones de derecho dispares, ya que la protección de </w:t>
      </w:r>
      <w:r w:rsidRPr="001E521E">
        <w:rPr>
          <w:rFonts w:ascii="Palatino Linotype" w:hAnsi="Palatino Linotype"/>
          <w:bCs/>
          <w:i/>
          <w:sz w:val="24"/>
          <w:szCs w:val="24"/>
        </w:rPr>
        <w:t>datos</w:t>
      </w:r>
      <w:r w:rsidRPr="001E521E">
        <w:rPr>
          <w:rFonts w:ascii="Palatino Linotype" w:hAnsi="Palatino Linotype"/>
          <w:i/>
          <w:sz w:val="24"/>
          <w:szCs w:val="24"/>
        </w:rPr>
        <w:t xml:space="preserve"> </w:t>
      </w:r>
      <w:r w:rsidRPr="001E521E">
        <w:rPr>
          <w:rFonts w:ascii="Palatino Linotype" w:hAnsi="Palatino Linotype"/>
          <w:bCs/>
          <w:i/>
          <w:sz w:val="24"/>
          <w:szCs w:val="24"/>
        </w:rPr>
        <w:t>personales</w:t>
      </w:r>
      <w:r w:rsidRPr="001E521E">
        <w:rPr>
          <w:rFonts w:ascii="Palatino Linotype" w:hAnsi="Palatino Linotype"/>
          <w:i/>
          <w:sz w:val="24"/>
          <w:szCs w:val="24"/>
        </w:rPr>
        <w:t>, entre ellos el del patrimonio y su confidencialidad, es una derivación del derecho a la intimidad, del cual únicamente goza el individuo, entendido como la persona humana."</w:t>
      </w:r>
    </w:p>
    <w:p w:rsidR="0037497D" w:rsidRPr="001E521E" w:rsidRDefault="0037497D" w:rsidP="0037497D">
      <w:pPr>
        <w:spacing w:after="0" w:line="360" w:lineRule="auto"/>
        <w:jc w:val="both"/>
        <w:rPr>
          <w:rFonts w:ascii="Palatino Linotype" w:hAnsi="Palatino Linotype"/>
          <w:sz w:val="24"/>
          <w:szCs w:val="24"/>
          <w:lang w:val="es-ES"/>
        </w:rPr>
      </w:pPr>
    </w:p>
    <w:p w:rsidR="0037497D" w:rsidRPr="001E521E" w:rsidRDefault="0037497D" w:rsidP="0037497D">
      <w:pPr>
        <w:spacing w:after="0" w:line="360" w:lineRule="auto"/>
        <w:jc w:val="both"/>
        <w:rPr>
          <w:rFonts w:ascii="Palatino Linotype" w:hAnsi="Palatino Linotype"/>
          <w:sz w:val="24"/>
          <w:szCs w:val="24"/>
          <w:lang w:val="es-ES"/>
        </w:rPr>
      </w:pPr>
      <w:r w:rsidRPr="001E521E">
        <w:rPr>
          <w:rFonts w:ascii="Palatino Linotype" w:hAnsi="Palatino Linotype"/>
          <w:sz w:val="24"/>
          <w:szCs w:val="24"/>
        </w:rPr>
        <w:t xml:space="preserve">Al respecto es de mencionar que </w:t>
      </w:r>
      <w:r w:rsidR="00F701AA" w:rsidRPr="001E521E">
        <w:rPr>
          <w:rFonts w:ascii="Palatino Linotype" w:hAnsi="Palatino Linotype"/>
          <w:sz w:val="24"/>
          <w:szCs w:val="24"/>
        </w:rPr>
        <w:t>el acuerdo de versión pública ordenado</w:t>
      </w:r>
      <w:r w:rsidRPr="001E521E">
        <w:rPr>
          <w:rFonts w:ascii="Palatino Linotype" w:hAnsi="Palatino Linotype"/>
          <w:sz w:val="24"/>
          <w:szCs w:val="24"/>
        </w:rPr>
        <w:t xml:space="preserve"> debió tener por objeto testar la fotografía y firma de la persona a favor de quien se expidió la documental consistente en el </w:t>
      </w:r>
      <w:r w:rsidR="00F701AA" w:rsidRPr="001E521E">
        <w:rPr>
          <w:rFonts w:ascii="Palatino Linotype" w:hAnsi="Palatino Linotype"/>
          <w:sz w:val="24"/>
          <w:szCs w:val="24"/>
        </w:rPr>
        <w:t xml:space="preserve">certificado de estudios, </w:t>
      </w:r>
      <w:r w:rsidRPr="001E521E">
        <w:rPr>
          <w:rFonts w:ascii="Palatino Linotype" w:hAnsi="Palatino Linotype"/>
          <w:sz w:val="24"/>
          <w:szCs w:val="24"/>
        </w:rPr>
        <w:t>Título Profesional</w:t>
      </w:r>
      <w:r w:rsidR="00F701AA" w:rsidRPr="001E521E">
        <w:rPr>
          <w:rFonts w:ascii="Palatino Linotype" w:hAnsi="Palatino Linotype"/>
          <w:sz w:val="24"/>
          <w:szCs w:val="24"/>
        </w:rPr>
        <w:t>, cédula profesional</w:t>
      </w:r>
      <w:r w:rsidRPr="001E521E">
        <w:rPr>
          <w:rFonts w:ascii="Palatino Linotype" w:hAnsi="Palatino Linotype"/>
          <w:sz w:val="24"/>
          <w:szCs w:val="24"/>
        </w:rPr>
        <w:t xml:space="preserve">; ya que la </w:t>
      </w:r>
      <w:r w:rsidRPr="001E521E">
        <w:rPr>
          <w:rFonts w:ascii="Palatino Linotype" w:hAnsi="Palatino Linotype"/>
          <w:bCs/>
          <w:sz w:val="24"/>
          <w:szCs w:val="24"/>
          <w:lang w:val="es-ES"/>
        </w:rPr>
        <w:t>fotografía es un dato personal confidencial,</w:t>
      </w:r>
      <w:r w:rsidRPr="001E521E">
        <w:rPr>
          <w:rFonts w:ascii="Palatino Linotype" w:hAnsi="Palatino Linotype"/>
          <w:b/>
          <w:bCs/>
          <w:sz w:val="24"/>
          <w:szCs w:val="24"/>
          <w:lang w:val="es-ES"/>
        </w:rPr>
        <w:t xml:space="preserve"> </w:t>
      </w:r>
      <w:r w:rsidRPr="001E521E">
        <w:rPr>
          <w:rFonts w:ascii="Palatino Linotype" w:hAnsi="Palatino Linotype"/>
          <w:sz w:val="24"/>
          <w:szCs w:val="24"/>
          <w:lang w:val="es-ES"/>
        </w:rPr>
        <w:t xml:space="preserve">en términos de lo dispuesto en los artículos 3, fracción IX y 143, fracción I de la Ley de Transparencia y Acceso a la Información Pública del Estado de México y Municipios, </w:t>
      </w:r>
      <w:r w:rsidRPr="001E521E">
        <w:rPr>
          <w:rFonts w:ascii="Palatino Linotype" w:hAnsi="Palatino Linotype"/>
          <w:bCs/>
          <w:sz w:val="24"/>
          <w:szCs w:val="24"/>
          <w:lang w:val="es-ES"/>
        </w:rPr>
        <w:t xml:space="preserve">así como en el artículo 4, fracciones XI y XII de </w:t>
      </w:r>
      <w:r w:rsidRPr="001E521E">
        <w:rPr>
          <w:rFonts w:ascii="Palatino Linotype" w:hAnsi="Palatino Linotype"/>
          <w:sz w:val="24"/>
          <w:szCs w:val="24"/>
          <w:lang w:val="es-ES"/>
        </w:rPr>
        <w:t>la Ley de Protección de Datos Personales en Posesión de Sujetos Obligados del Estado de México y Municipios.</w:t>
      </w:r>
    </w:p>
    <w:p w:rsidR="0037497D" w:rsidRPr="001E521E" w:rsidRDefault="0037497D" w:rsidP="0037497D">
      <w:pPr>
        <w:spacing w:after="0" w:line="360" w:lineRule="auto"/>
        <w:jc w:val="both"/>
        <w:rPr>
          <w:rFonts w:ascii="Palatino Linotype" w:hAnsi="Palatino Linotype"/>
          <w:sz w:val="24"/>
          <w:szCs w:val="24"/>
          <w:lang w:val="es-ES"/>
        </w:rPr>
      </w:pPr>
      <w:r w:rsidRPr="001E521E">
        <w:rPr>
          <w:rFonts w:ascii="Palatino Linotype" w:hAnsi="Palatino Linotype"/>
          <w:sz w:val="24"/>
          <w:szCs w:val="24"/>
          <w:lang w:val="es-ES"/>
        </w:rPr>
        <w:t xml:space="preserve">Lo anterior es así, en atención a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37497D" w:rsidRPr="001E521E" w:rsidRDefault="0037497D" w:rsidP="0037497D">
      <w:pPr>
        <w:spacing w:after="0" w:line="360" w:lineRule="auto"/>
        <w:jc w:val="both"/>
        <w:rPr>
          <w:rFonts w:ascii="Palatino Linotype" w:hAnsi="Palatino Linotype"/>
          <w:sz w:val="24"/>
          <w:szCs w:val="24"/>
          <w:lang w:val="es-ES"/>
        </w:rPr>
      </w:pPr>
      <w:r w:rsidRPr="001E521E">
        <w:rPr>
          <w:rFonts w:ascii="Palatino Linotype" w:hAnsi="Palatino Linotype"/>
          <w:sz w:val="24"/>
          <w:szCs w:val="24"/>
          <w:lang w:val="es-ES"/>
        </w:rPr>
        <w:t xml:space="preserve">En ese sentido, las fotografías constituyen datos personales que requieren el consentimiento de su titular conforme al artículo 18 de la Ley de Protección de Datos </w:t>
      </w:r>
      <w:r w:rsidRPr="001E521E">
        <w:rPr>
          <w:rFonts w:ascii="Palatino Linotype" w:hAnsi="Palatino Linotype"/>
          <w:sz w:val="24"/>
          <w:szCs w:val="24"/>
          <w:lang w:val="es-ES"/>
        </w:rPr>
        <w:lastRenderedPageBreak/>
        <w:t xml:space="preserve">precitada; aunado de que en dichas fotografías no se advierte que constituyan algún elemento que permita reflejar el desempeño, o idoneidad para ocupar un cargo; además no permite a su titular, acreditar ante la ciudadanía que posee los conocimientos propios de su profesión y mucho menos aporta elemento alguno en beneficio de la rendición de cuentas y la transparencia. </w:t>
      </w:r>
    </w:p>
    <w:p w:rsidR="0037497D" w:rsidRPr="001E521E" w:rsidRDefault="0037497D" w:rsidP="0037497D">
      <w:pPr>
        <w:spacing w:after="0" w:line="360" w:lineRule="auto"/>
        <w:jc w:val="both"/>
        <w:rPr>
          <w:rFonts w:ascii="Palatino Linotype" w:hAnsi="Palatino Linotype"/>
          <w:sz w:val="24"/>
          <w:szCs w:val="24"/>
          <w:lang w:val="es-ES"/>
        </w:rPr>
      </w:pPr>
      <w:r w:rsidRPr="001E521E">
        <w:rPr>
          <w:rFonts w:ascii="Palatino Linotype" w:hAnsi="Palatino Linotype"/>
          <w:sz w:val="24"/>
          <w:szCs w:val="24"/>
          <w:lang w:val="es-ES"/>
        </w:rPr>
        <w:t>En otros términos, es de destacar que la fotografía consiste en una imagen duradera de un rostro, en el caso de una persona, por lo que sin duda refleja y hace públicos los rasgos físicos de su titular; de ahí que constituya un dato personal</w:t>
      </w:r>
      <w:r w:rsidRPr="001E521E">
        <w:rPr>
          <w:rFonts w:ascii="Palatino Linotype" w:hAnsi="Palatino Linotype"/>
          <w:sz w:val="24"/>
          <w:szCs w:val="24"/>
        </w:rPr>
        <w:t>.</w:t>
      </w:r>
    </w:p>
    <w:p w:rsidR="0037497D" w:rsidRPr="001E521E" w:rsidRDefault="0037497D" w:rsidP="0037497D">
      <w:pPr>
        <w:spacing w:after="0" w:line="360" w:lineRule="auto"/>
        <w:jc w:val="both"/>
        <w:rPr>
          <w:rFonts w:ascii="Palatino Linotype" w:hAnsi="Palatino Linotype"/>
          <w:sz w:val="24"/>
          <w:szCs w:val="24"/>
        </w:rPr>
      </w:pPr>
      <w:r w:rsidRPr="001E521E">
        <w:rPr>
          <w:rFonts w:ascii="Palatino Linotype" w:hAnsi="Palatino Linotype"/>
          <w:sz w:val="24"/>
          <w:szCs w:val="24"/>
          <w:lang w:val="es-ES"/>
        </w:rPr>
        <w:t xml:space="preserve">En efecto, la fotografía tanto en el certificado de estudios, título, cédula profesional o en el currículum vitae, es susceptible de ser testado, en atención a que la fotografía constituye la reproducción fiel de las características físicas de una persona en un momento determinado, por lo que representan un instrumento de identificación, proyección exterior, y factor imprescindible para su propio reconocimiento como sujeto individual; por ende, para su difusión se requiere del consentimiento de los individuos; </w:t>
      </w:r>
    </w:p>
    <w:p w:rsidR="0037497D" w:rsidRPr="001E521E" w:rsidRDefault="0037497D" w:rsidP="0037497D">
      <w:pPr>
        <w:spacing w:after="0" w:line="360" w:lineRule="auto"/>
        <w:jc w:val="both"/>
        <w:rPr>
          <w:rFonts w:ascii="Palatino Linotype" w:hAnsi="Palatino Linotype"/>
          <w:sz w:val="24"/>
          <w:szCs w:val="24"/>
        </w:rPr>
      </w:pPr>
      <w:r w:rsidRPr="001E521E">
        <w:rPr>
          <w:rFonts w:ascii="Palatino Linotype" w:hAnsi="Palatino Linotype"/>
          <w:sz w:val="24"/>
          <w:szCs w:val="24"/>
        </w:rPr>
        <w:t xml:space="preserve">En consecuencia, las fotografías constituyen datos personales y, como tales, susceptibles de clasificarse con el carácter de confidenciales, se afirma lo anterior en razón de que si bien dicho dato se generó para la obtención del documento que acredita un grado académico, sin embargo no se debe perder de vista que dicho documento y dato personal (fotografía) se tramitó por el titular del mismo sin ejercer, ni hacer uso de las funciones y atribuciones que la ley confiere en su carácter de servidor o funcionario público. </w:t>
      </w:r>
    </w:p>
    <w:p w:rsidR="00F701AA" w:rsidRPr="005E3F81" w:rsidRDefault="00F701AA" w:rsidP="0037497D">
      <w:pPr>
        <w:spacing w:after="0" w:line="360" w:lineRule="auto"/>
        <w:jc w:val="both"/>
        <w:rPr>
          <w:rFonts w:ascii="Palatino Linotype" w:hAnsi="Palatino Linotype"/>
          <w:sz w:val="23"/>
          <w:szCs w:val="23"/>
        </w:rPr>
      </w:pPr>
    </w:p>
    <w:p w:rsidR="0037497D" w:rsidRPr="005E3F81" w:rsidRDefault="0037497D" w:rsidP="0037497D">
      <w:pPr>
        <w:spacing w:after="0" w:line="360" w:lineRule="auto"/>
        <w:jc w:val="both"/>
        <w:rPr>
          <w:rFonts w:ascii="Palatino Linotype" w:hAnsi="Palatino Linotype" w:cs="Arial"/>
          <w:sz w:val="23"/>
          <w:szCs w:val="23"/>
        </w:rPr>
      </w:pPr>
      <w:r w:rsidRPr="005E3F81">
        <w:rPr>
          <w:rFonts w:ascii="Palatino Linotype" w:hAnsi="Palatino Linotype"/>
          <w:sz w:val="23"/>
          <w:szCs w:val="23"/>
        </w:rPr>
        <w:t>En mérito de lo precisado con anterioridad</w:t>
      </w:r>
      <w:r w:rsidRPr="005E3F81">
        <w:rPr>
          <w:rFonts w:ascii="Palatino Linotype" w:hAnsi="Palatino Linotype" w:cs="Arial"/>
          <w:sz w:val="23"/>
          <w:szCs w:val="23"/>
        </w:rPr>
        <w:t xml:space="preserve">, </w:t>
      </w:r>
      <w:r w:rsidRPr="005E3F81">
        <w:rPr>
          <w:rFonts w:ascii="Palatino Linotype" w:hAnsi="Palatino Linotype"/>
          <w:sz w:val="23"/>
          <w:szCs w:val="23"/>
        </w:rPr>
        <w:t>el suscrito emite el presente voto particular.</w:t>
      </w:r>
    </w:p>
    <w:p w:rsidR="0037497D" w:rsidRDefault="0037497D" w:rsidP="0037497D">
      <w:pPr>
        <w:spacing w:after="0" w:line="360" w:lineRule="auto"/>
        <w:rPr>
          <w:rFonts w:ascii="Palatino Linotype" w:hAnsi="Palatino Linotype"/>
          <w:b/>
          <w:sz w:val="23"/>
          <w:szCs w:val="23"/>
        </w:rPr>
      </w:pPr>
    </w:p>
    <w:p w:rsidR="00E07483" w:rsidRDefault="00E07483" w:rsidP="0037497D">
      <w:pPr>
        <w:spacing w:after="0" w:line="360" w:lineRule="auto"/>
        <w:rPr>
          <w:rFonts w:ascii="Palatino Linotype" w:hAnsi="Palatino Linotype"/>
          <w:b/>
          <w:sz w:val="23"/>
          <w:szCs w:val="23"/>
        </w:rPr>
      </w:pPr>
    </w:p>
    <w:p w:rsidR="00E07483" w:rsidRPr="005E3F81" w:rsidRDefault="00E07483" w:rsidP="00E07483">
      <w:pPr>
        <w:spacing w:after="0" w:line="360" w:lineRule="auto"/>
        <w:jc w:val="center"/>
        <w:rPr>
          <w:rFonts w:ascii="Palatino Linotype" w:hAnsi="Palatino Linotype"/>
          <w:b/>
          <w:sz w:val="23"/>
          <w:szCs w:val="23"/>
        </w:rPr>
      </w:pPr>
    </w:p>
    <w:p w:rsidR="0037497D" w:rsidRPr="005E3F81" w:rsidRDefault="0037497D" w:rsidP="0037497D">
      <w:pPr>
        <w:spacing w:after="0" w:line="360" w:lineRule="auto"/>
        <w:rPr>
          <w:rFonts w:ascii="Palatino Linotype" w:hAnsi="Palatino Linotype"/>
          <w:b/>
          <w:sz w:val="23"/>
          <w:szCs w:val="23"/>
        </w:rPr>
      </w:pPr>
    </w:p>
    <w:p w:rsidR="0037497D" w:rsidRPr="005E3F81" w:rsidRDefault="0037497D" w:rsidP="0037497D">
      <w:pPr>
        <w:spacing w:after="0" w:line="240" w:lineRule="auto"/>
        <w:jc w:val="center"/>
        <w:rPr>
          <w:rFonts w:ascii="Palatino Linotype" w:hAnsi="Palatino Linotype"/>
          <w:b/>
          <w:sz w:val="23"/>
          <w:szCs w:val="23"/>
        </w:rPr>
      </w:pPr>
      <w:r w:rsidRPr="005E3F81">
        <w:rPr>
          <w:rFonts w:ascii="Palatino Linotype" w:hAnsi="Palatino Linotype"/>
          <w:b/>
          <w:sz w:val="23"/>
          <w:szCs w:val="23"/>
        </w:rPr>
        <w:t xml:space="preserve">     Javier Martínez Cruz</w:t>
      </w:r>
    </w:p>
    <w:p w:rsidR="0037497D" w:rsidRPr="005E3F81" w:rsidRDefault="0037497D" w:rsidP="0037497D">
      <w:pPr>
        <w:spacing w:after="0" w:line="240" w:lineRule="auto"/>
        <w:jc w:val="center"/>
        <w:rPr>
          <w:rFonts w:ascii="Palatino Linotype" w:hAnsi="Palatino Linotype"/>
          <w:sz w:val="23"/>
          <w:szCs w:val="23"/>
        </w:rPr>
      </w:pPr>
      <w:r w:rsidRPr="005E3F81">
        <w:rPr>
          <w:rFonts w:ascii="Palatino Linotype" w:hAnsi="Palatino Linotype"/>
          <w:sz w:val="23"/>
          <w:szCs w:val="23"/>
        </w:rPr>
        <w:t>Comisionado</w:t>
      </w:r>
    </w:p>
    <w:p w:rsidR="0015441A" w:rsidRPr="005E3F81" w:rsidRDefault="0037497D" w:rsidP="001E521E">
      <w:pPr>
        <w:spacing w:after="0" w:line="240" w:lineRule="auto"/>
        <w:jc w:val="center"/>
        <w:rPr>
          <w:rFonts w:ascii="Palatino Linotype" w:hAnsi="Palatino Linotype"/>
          <w:sz w:val="23"/>
          <w:szCs w:val="23"/>
        </w:rPr>
      </w:pPr>
      <w:r w:rsidRPr="005E3F81">
        <w:rPr>
          <w:rFonts w:ascii="Palatino Linotype" w:hAnsi="Palatino Linotype"/>
          <w:sz w:val="23"/>
          <w:szCs w:val="23"/>
        </w:rPr>
        <w:t>(RÚBRICA)</w:t>
      </w:r>
      <w:bookmarkStart w:id="0" w:name="_GoBack"/>
      <w:bookmarkEnd w:id="0"/>
    </w:p>
    <w:sectPr w:rsidR="0015441A" w:rsidRPr="005E3F81"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BEB" w:rsidRDefault="00962BEB" w:rsidP="00745853">
      <w:pPr>
        <w:spacing w:after="0" w:line="240" w:lineRule="auto"/>
      </w:pPr>
      <w:r>
        <w:separator/>
      </w:r>
    </w:p>
  </w:endnote>
  <w:endnote w:type="continuationSeparator" w:id="0">
    <w:p w:rsidR="00962BEB" w:rsidRDefault="00962BEB" w:rsidP="0074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962BEB"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E521E">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E521E">
      <w:rPr>
        <w:rFonts w:ascii="Arial" w:hAnsi="Arial" w:cs="Arial"/>
        <w:b/>
        <w:bCs/>
        <w:noProof/>
        <w:sz w:val="20"/>
        <w:szCs w:val="20"/>
      </w:rPr>
      <w:t>7</w:t>
    </w:r>
    <w:r w:rsidRPr="00986599">
      <w:rPr>
        <w:rFonts w:ascii="Arial" w:hAnsi="Arial" w:cs="Arial"/>
        <w:b/>
        <w:bCs/>
        <w:sz w:val="20"/>
        <w:szCs w:val="20"/>
      </w:rPr>
      <w:fldChar w:fldCharType="end"/>
    </w:r>
  </w:p>
  <w:p w:rsidR="00D758BE" w:rsidRDefault="001E521E"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BEB" w:rsidRDefault="00962BEB" w:rsidP="00745853">
      <w:pPr>
        <w:spacing w:after="0" w:line="240" w:lineRule="auto"/>
      </w:pPr>
      <w:r>
        <w:separator/>
      </w:r>
    </w:p>
  </w:footnote>
  <w:footnote w:type="continuationSeparator" w:id="0">
    <w:p w:rsidR="00962BEB" w:rsidRDefault="00962BEB" w:rsidP="007458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962BEB">
    <w:pPr>
      <w:pStyle w:val="Encabezado"/>
    </w:pPr>
    <w:r>
      <w:rPr>
        <w:noProof/>
        <w:lang w:val="es-MX" w:eastAsia="es-MX"/>
      </w:rPr>
      <mc:AlternateContent>
        <mc:Choice Requires="wps">
          <w:drawing>
            <wp:anchor distT="0" distB="0" distL="114300" distR="114300" simplePos="0" relativeHeight="251659264" behindDoc="1" locked="0" layoutInCell="0" allowOverlap="1" wp14:anchorId="3D53C307" wp14:editId="516DAED8">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962BEB"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53C307"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962BEB"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962BEB"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77D9835C" wp14:editId="6E915A07">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1E521E" w:rsidP="007263BB">
    <w:pPr>
      <w:pStyle w:val="Encabezado"/>
      <w:jc w:val="right"/>
      <w:rPr>
        <w:rFonts w:ascii="Arial" w:hAnsi="Arial" w:cs="Arial"/>
        <w:sz w:val="20"/>
        <w:szCs w:val="20"/>
      </w:rPr>
    </w:pPr>
  </w:p>
  <w:p w:rsidR="00D758BE" w:rsidRDefault="001E521E" w:rsidP="007263BB">
    <w:pPr>
      <w:pStyle w:val="Encabezado"/>
      <w:jc w:val="right"/>
      <w:rPr>
        <w:rFonts w:ascii="Arial" w:hAnsi="Arial" w:cs="Arial"/>
        <w:sz w:val="20"/>
        <w:szCs w:val="20"/>
      </w:rPr>
    </w:pPr>
  </w:p>
  <w:p w:rsidR="00706042" w:rsidRPr="00563D0F" w:rsidRDefault="00962BEB"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EE5FB0" w:rsidRPr="00563D0F" w:rsidRDefault="00962BEB"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w:t>
    </w:r>
    <w:r w:rsidR="00D26EDD">
      <w:rPr>
        <w:rFonts w:ascii="Palatino Linotype" w:hAnsi="Palatino Linotype" w:cs="Arial"/>
        <w:b/>
        <w:sz w:val="20"/>
        <w:szCs w:val="20"/>
      </w:rPr>
      <w:t>4441</w:t>
    </w:r>
    <w:r>
      <w:rPr>
        <w:rFonts w:ascii="Palatino Linotype" w:hAnsi="Palatino Linotype" w:cs="Arial"/>
        <w:b/>
        <w:sz w:val="20"/>
        <w:szCs w:val="20"/>
      </w:rPr>
      <w:t>/INFOEM/IP/RR/2018</w:t>
    </w:r>
    <w:r w:rsidR="00255224">
      <w:rPr>
        <w:rFonts w:ascii="Palatino Linotype" w:hAnsi="Palatino Linotype" w:cs="Arial"/>
        <w:b/>
        <w:sz w:val="20"/>
        <w:szCs w:val="20"/>
      </w:rPr>
      <w:t xml:space="preserve"> Y ACUMULADO</w:t>
    </w:r>
  </w:p>
  <w:p w:rsidR="00D758BE" w:rsidRDefault="001E521E" w:rsidP="007263BB">
    <w:pPr>
      <w:pStyle w:val="Encabezado"/>
      <w:jc w:val="right"/>
      <w:rPr>
        <w:rFonts w:ascii="Palatino Linotype" w:hAnsi="Palatino Linotype" w:cs="Arial"/>
        <w:sz w:val="20"/>
        <w:szCs w:val="20"/>
      </w:rPr>
    </w:pPr>
  </w:p>
  <w:p w:rsidR="00233AB2" w:rsidRDefault="001E521E"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31BFA"/>
    <w:multiLevelType w:val="hybridMultilevel"/>
    <w:tmpl w:val="08388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C0E1CDA"/>
    <w:multiLevelType w:val="hybridMultilevel"/>
    <w:tmpl w:val="08BEDAB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4A27106"/>
    <w:multiLevelType w:val="hybridMultilevel"/>
    <w:tmpl w:val="D624DB36"/>
    <w:lvl w:ilvl="0" w:tplc="76ECB28E">
      <w:start w:val="25"/>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6C4550A4"/>
    <w:multiLevelType w:val="hybridMultilevel"/>
    <w:tmpl w:val="C194F2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7D"/>
    <w:rsid w:val="00081E1A"/>
    <w:rsid w:val="000B784D"/>
    <w:rsid w:val="00142706"/>
    <w:rsid w:val="0015441A"/>
    <w:rsid w:val="001E521E"/>
    <w:rsid w:val="00255224"/>
    <w:rsid w:val="0037497D"/>
    <w:rsid w:val="005E3F81"/>
    <w:rsid w:val="00745853"/>
    <w:rsid w:val="00962BEB"/>
    <w:rsid w:val="00D26EDD"/>
    <w:rsid w:val="00E07483"/>
    <w:rsid w:val="00E45468"/>
    <w:rsid w:val="00F701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0BF56-5553-43A9-BDB8-D4888208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97D"/>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97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7497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7497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7497D"/>
    <w:rPr>
      <w:rFonts w:ascii="Times New Roman" w:eastAsia="Times New Roman" w:hAnsi="Times New Roman" w:cs="Times New Roman"/>
      <w:sz w:val="24"/>
      <w:szCs w:val="24"/>
      <w:lang w:val="es-ES" w:eastAsia="es-ES"/>
    </w:rPr>
  </w:style>
  <w:style w:type="paragraph" w:styleId="NormalWeb">
    <w:name w:val="Normal (Web)"/>
    <w:basedOn w:val="Normal"/>
    <w:uiPriority w:val="99"/>
    <w:rsid w:val="0037497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7497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7497D"/>
  </w:style>
  <w:style w:type="paragraph" w:styleId="Textodeglobo">
    <w:name w:val="Balloon Text"/>
    <w:basedOn w:val="Normal"/>
    <w:link w:val="TextodegloboCar"/>
    <w:uiPriority w:val="99"/>
    <w:semiHidden/>
    <w:unhideWhenUsed/>
    <w:rsid w:val="00F701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01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1497</Words>
  <Characters>8236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2018-08-13T16:40:00Z</cp:lastPrinted>
  <dcterms:created xsi:type="dcterms:W3CDTF">2019-02-18T15:56:00Z</dcterms:created>
  <dcterms:modified xsi:type="dcterms:W3CDTF">2019-02-18T17:06:00Z</dcterms:modified>
</cp:coreProperties>
</file>